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B9ED9">
      <w:pPr>
        <w:adjustRightInd w:val="0"/>
        <w:snapToGrid w:val="0"/>
        <w:spacing w:line="380" w:lineRule="exact"/>
        <w:jc w:val="center"/>
        <w:rPr>
          <w:rFonts w:hint="eastAsia" w:ascii="宋体" w:hAnsi="宋体"/>
          <w:b/>
          <w:sz w:val="32"/>
          <w:szCs w:val="32"/>
        </w:rPr>
      </w:pPr>
      <w:r>
        <w:rPr>
          <w:rFonts w:ascii="宋体" w:hAnsi="宋体"/>
          <w:b/>
          <w:sz w:val="32"/>
          <w:szCs w:val="32"/>
        </w:rPr>
        <w:t>债权申报须知</w:t>
      </w:r>
    </w:p>
    <w:p w14:paraId="26B9CBB7">
      <w:pPr>
        <w:adjustRightInd w:val="0"/>
        <w:snapToGrid w:val="0"/>
        <w:spacing w:line="380" w:lineRule="exact"/>
        <w:ind w:firstLine="480" w:firstLineChars="200"/>
        <w:rPr>
          <w:rFonts w:hint="eastAsia" w:ascii="宋体" w:hAnsi="宋体"/>
          <w:sz w:val="24"/>
        </w:rPr>
      </w:pPr>
      <w:r>
        <w:rPr>
          <w:rFonts w:ascii="宋体" w:hAnsi="宋体"/>
          <w:sz w:val="24"/>
        </w:rPr>
        <w:t>依据</w:t>
      </w:r>
      <w:bookmarkStart w:id="0" w:name="_GoBack"/>
      <w:bookmarkEnd w:id="0"/>
      <w:r>
        <w:rPr>
          <w:rFonts w:ascii="宋体" w:hAnsi="宋体"/>
          <w:sz w:val="24"/>
        </w:rPr>
        <w:t>相关法律法规</w:t>
      </w:r>
      <w:r>
        <w:rPr>
          <w:rFonts w:hint="eastAsia" w:ascii="宋体" w:hAnsi="宋体"/>
          <w:sz w:val="24"/>
        </w:rPr>
        <w:t>、</w:t>
      </w:r>
      <w:r>
        <w:rPr>
          <w:rFonts w:ascii="宋体" w:hAnsi="宋体"/>
          <w:sz w:val="24"/>
        </w:rPr>
        <w:t>司法解释</w:t>
      </w:r>
      <w:r>
        <w:rPr>
          <w:rFonts w:hint="eastAsia" w:ascii="宋体" w:hAnsi="宋体"/>
          <w:sz w:val="24"/>
        </w:rPr>
        <w:t>及人民法院司法文件的</w:t>
      </w:r>
      <w:r>
        <w:rPr>
          <w:rFonts w:ascii="宋体" w:hAnsi="宋体"/>
          <w:sz w:val="24"/>
        </w:rPr>
        <w:t>规定，就</w:t>
      </w:r>
      <w:r>
        <w:rPr>
          <w:rFonts w:hint="eastAsia" w:ascii="宋体" w:hAnsi="宋体"/>
          <w:sz w:val="24"/>
        </w:rPr>
        <w:t>宁波万华汽车配件有限公司（以下简称“万华汽配”）的</w:t>
      </w:r>
      <w:r>
        <w:rPr>
          <w:rFonts w:ascii="宋体" w:hAnsi="宋体"/>
          <w:sz w:val="24"/>
        </w:rPr>
        <w:t>债权人在申报债权时的相关注意事项说明如下：</w:t>
      </w:r>
    </w:p>
    <w:p w14:paraId="40C90000">
      <w:pPr>
        <w:adjustRightInd w:val="0"/>
        <w:snapToGrid w:val="0"/>
        <w:spacing w:line="380" w:lineRule="exact"/>
        <w:ind w:firstLine="472" w:firstLineChars="196"/>
        <w:rPr>
          <w:rFonts w:hint="eastAsia" w:ascii="宋体" w:hAnsi="宋体"/>
          <w:b/>
          <w:sz w:val="24"/>
        </w:rPr>
      </w:pPr>
      <w:r>
        <w:rPr>
          <w:rFonts w:hint="eastAsia" w:ascii="宋体" w:hAnsi="宋体"/>
          <w:b/>
          <w:sz w:val="24"/>
        </w:rPr>
        <w:t>一、债权申报方式</w:t>
      </w:r>
    </w:p>
    <w:p w14:paraId="123FA930">
      <w:pPr>
        <w:adjustRightInd w:val="0"/>
        <w:snapToGrid w:val="0"/>
        <w:spacing w:line="380" w:lineRule="exact"/>
        <w:ind w:firstLine="480" w:firstLineChars="200"/>
        <w:rPr>
          <w:rFonts w:hint="eastAsia" w:ascii="宋体" w:hAnsi="宋体"/>
          <w:sz w:val="24"/>
        </w:rPr>
      </w:pPr>
      <w:r>
        <w:rPr>
          <w:rFonts w:hint="eastAsia" w:ascii="宋体" w:hAnsi="宋体"/>
          <w:sz w:val="24"/>
        </w:rPr>
        <w:t>债权人通过现场或邮寄方式将债权申报资料一式两份提交给管理人。现场及邮寄提交债权申报材料的地址均为浙江省宁波市江北区康庄南路中体城芯锐中心C座812室，邮政编码：315000</w:t>
      </w:r>
      <w:r>
        <w:rPr>
          <w:rFonts w:ascii="宋体" w:hAnsi="宋体"/>
          <w:sz w:val="24"/>
        </w:rPr>
        <w:t>，</w:t>
      </w:r>
      <w:r>
        <w:rPr>
          <w:rFonts w:hint="eastAsia" w:ascii="宋体" w:hAnsi="宋体"/>
          <w:sz w:val="24"/>
        </w:rPr>
        <w:t>联系人：丁天甲（13757558522），戚璐莎（18258012893），徐宏宇(19857590700)。</w:t>
      </w:r>
    </w:p>
    <w:p w14:paraId="6AE0FF4E">
      <w:pPr>
        <w:adjustRightInd w:val="0"/>
        <w:snapToGrid w:val="0"/>
        <w:spacing w:line="380" w:lineRule="exact"/>
        <w:ind w:firstLine="482" w:firstLineChars="200"/>
        <w:rPr>
          <w:rFonts w:hint="eastAsia" w:ascii="宋体" w:hAnsi="宋体"/>
          <w:b/>
          <w:bCs/>
          <w:sz w:val="24"/>
        </w:rPr>
      </w:pPr>
      <w:r>
        <w:rPr>
          <w:rFonts w:hint="eastAsia" w:ascii="宋体" w:hAnsi="宋体"/>
          <w:b/>
          <w:bCs/>
          <w:sz w:val="24"/>
        </w:rPr>
        <w:t>二、债权申报时间</w:t>
      </w:r>
    </w:p>
    <w:p w14:paraId="4D8E35D8">
      <w:pPr>
        <w:adjustRightInd w:val="0"/>
        <w:snapToGrid w:val="0"/>
        <w:spacing w:line="380" w:lineRule="exact"/>
        <w:ind w:firstLine="480" w:firstLineChars="200"/>
        <w:rPr>
          <w:rFonts w:hint="eastAsia" w:ascii="宋体" w:hAnsi="宋体"/>
          <w:sz w:val="24"/>
        </w:rPr>
      </w:pPr>
      <w:r>
        <w:rPr>
          <w:rFonts w:hint="eastAsia" w:ascii="宋体" w:hAnsi="宋体"/>
          <w:sz w:val="24"/>
        </w:rPr>
        <w:t>债权申报期限至2025年1月16</w:t>
      </w:r>
      <w:r>
        <w:rPr>
          <w:rFonts w:ascii="宋体" w:hAnsi="宋体"/>
          <w:sz w:val="24"/>
        </w:rPr>
        <w:t>日止</w:t>
      </w:r>
      <w:r>
        <w:rPr>
          <w:rFonts w:hint="eastAsia" w:ascii="宋体" w:hAnsi="宋体"/>
          <w:sz w:val="24"/>
        </w:rPr>
        <w:t>，</w:t>
      </w:r>
      <w:r>
        <w:rPr>
          <w:rFonts w:ascii="宋体" w:hAnsi="宋体"/>
          <w:sz w:val="24"/>
        </w:rPr>
        <w:t>申报时间</w:t>
      </w:r>
      <w:r>
        <w:rPr>
          <w:rFonts w:hint="eastAsia" w:ascii="宋体" w:hAnsi="宋体"/>
          <w:sz w:val="24"/>
        </w:rPr>
        <w:t>：</w:t>
      </w:r>
      <w:r>
        <w:rPr>
          <w:rFonts w:ascii="宋体" w:hAnsi="宋体"/>
          <w:sz w:val="24"/>
        </w:rPr>
        <w:t>工作日上午</w:t>
      </w:r>
      <w:r>
        <w:rPr>
          <w:rFonts w:hint="eastAsia" w:ascii="宋体" w:hAnsi="宋体"/>
          <w:sz w:val="24"/>
        </w:rPr>
        <w:t>9：00到11:30，下午14:00至1</w:t>
      </w:r>
      <w:r>
        <w:rPr>
          <w:rFonts w:ascii="宋体" w:hAnsi="宋体"/>
          <w:sz w:val="24"/>
        </w:rPr>
        <w:t>7</w:t>
      </w:r>
      <w:r>
        <w:rPr>
          <w:rFonts w:hint="eastAsia" w:ascii="宋体" w:hAnsi="宋体"/>
          <w:sz w:val="24"/>
        </w:rPr>
        <w:t>:00（法定节假日、休息日除外）</w:t>
      </w:r>
    </w:p>
    <w:p w14:paraId="2F4A5F7E">
      <w:pPr>
        <w:adjustRightInd w:val="0"/>
        <w:snapToGrid w:val="0"/>
        <w:spacing w:line="380" w:lineRule="exact"/>
        <w:ind w:firstLine="482" w:firstLineChars="200"/>
        <w:rPr>
          <w:rFonts w:hint="eastAsia" w:ascii="宋体" w:hAnsi="宋体"/>
          <w:b/>
          <w:sz w:val="24"/>
        </w:rPr>
      </w:pPr>
      <w:r>
        <w:rPr>
          <w:rFonts w:hint="eastAsia" w:ascii="宋体" w:hAnsi="宋体"/>
          <w:b/>
          <w:sz w:val="24"/>
        </w:rPr>
        <w:t>三</w:t>
      </w:r>
      <w:r>
        <w:rPr>
          <w:rFonts w:ascii="宋体" w:hAnsi="宋体"/>
          <w:b/>
          <w:sz w:val="24"/>
        </w:rPr>
        <w:t>、债权申报材料</w:t>
      </w:r>
      <w:r>
        <w:rPr>
          <w:rFonts w:hint="eastAsia" w:ascii="宋体" w:hAnsi="宋体"/>
          <w:b/>
          <w:sz w:val="24"/>
        </w:rPr>
        <w:t>及要求</w:t>
      </w:r>
    </w:p>
    <w:p w14:paraId="533E426F">
      <w:pPr>
        <w:pStyle w:val="8"/>
        <w:snapToGrid w:val="0"/>
        <w:spacing w:line="400" w:lineRule="exact"/>
        <w:ind w:firstLine="480" w:firstLineChars="200"/>
        <w:jc w:val="both"/>
        <w:rPr>
          <w:rFonts w:hint="eastAsia" w:ascii="宋体" w:hAnsi="宋体"/>
        </w:rPr>
      </w:pPr>
      <w:r>
        <w:rPr>
          <w:kern w:val="2"/>
        </w:rPr>
        <w:t>1、债权人申报债权</w:t>
      </w:r>
      <w:r>
        <w:rPr>
          <w:rFonts w:hint="eastAsia"/>
          <w:kern w:val="2"/>
        </w:rPr>
        <w:t>时</w:t>
      </w:r>
      <w:r>
        <w:rPr>
          <w:kern w:val="2"/>
        </w:rPr>
        <w:t>应</w:t>
      </w:r>
      <w:r>
        <w:rPr>
          <w:rFonts w:hint="eastAsia"/>
          <w:kern w:val="2"/>
        </w:rPr>
        <w:t>填写</w:t>
      </w:r>
      <w:r>
        <w:rPr>
          <w:b/>
          <w:kern w:val="2"/>
          <w:u w:val="single"/>
        </w:rPr>
        <w:t>《债权申报表》</w:t>
      </w:r>
      <w:r>
        <w:rPr>
          <w:rFonts w:hint="eastAsia"/>
          <w:b/>
          <w:kern w:val="2"/>
          <w:u w:val="single"/>
        </w:rPr>
        <w:t>、《债权申报材料清单》、《送达地址及收款账户确认书</w:t>
      </w:r>
      <w:r>
        <w:rPr>
          <w:rFonts w:hint="eastAsia"/>
          <w:b/>
          <w:u w:val="single"/>
        </w:rPr>
        <w:t>》、《债权计算清单》</w:t>
      </w:r>
      <w:r>
        <w:rPr>
          <w:rFonts w:ascii="宋体" w:hAnsi="宋体"/>
        </w:rPr>
        <w:t>。</w:t>
      </w:r>
    </w:p>
    <w:p w14:paraId="587314ED">
      <w:pPr>
        <w:widowControl/>
        <w:ind w:firstLine="480" w:firstLineChars="200"/>
        <w:jc w:val="left"/>
        <w:rPr>
          <w:rFonts w:hint="eastAsia" w:ascii="宋体" w:hAnsi="宋体" w:cs="宋体"/>
          <w:kern w:val="0"/>
          <w:sz w:val="24"/>
        </w:rPr>
      </w:pPr>
      <w:r>
        <w:rPr>
          <w:rFonts w:ascii="宋体" w:hAnsi="宋体"/>
          <w:sz w:val="24"/>
        </w:rPr>
        <w:t>2、</w:t>
      </w:r>
      <w:r>
        <w:rPr>
          <w:rFonts w:hint="eastAsia" w:ascii="宋体" w:hAnsi="宋体"/>
          <w:sz w:val="24"/>
        </w:rPr>
        <w:t>债权人申报债权时应向管理人提供债权人主体资格及委托代理人的相应材料。其中，</w:t>
      </w:r>
      <w:r>
        <w:rPr>
          <w:rFonts w:ascii="宋体" w:hAnsi="宋体"/>
          <w:sz w:val="24"/>
        </w:rPr>
        <w:t>债权人为</w:t>
      </w:r>
      <w:r>
        <w:rPr>
          <w:rFonts w:ascii="宋体" w:hAnsi="宋体" w:cs="宋体"/>
          <w:kern w:val="0"/>
          <w:sz w:val="24"/>
        </w:rPr>
        <w:t>企业法人的，应提交已年检的营业执照、法定代表人身份证明书、法定代表人身份证。债权人为自然人的，应提交个人身份证。委托代理人申报的，除上述材料外，还需提交授权委托书、代理人身份证。委托代理人是律师的，还应提交律师事务所的指派函及律师执业证。</w:t>
      </w:r>
      <w:r>
        <w:rPr>
          <w:rFonts w:hint="eastAsia" w:ascii="宋体" w:hAnsi="宋体" w:cs="宋体"/>
          <w:b/>
          <w:bCs/>
          <w:kern w:val="0"/>
          <w:sz w:val="24"/>
        </w:rPr>
        <w:t>债权人</w:t>
      </w:r>
      <w:r>
        <w:rPr>
          <w:rFonts w:ascii="宋体" w:hAnsi="宋体" w:cs="宋体"/>
          <w:b/>
          <w:bCs/>
          <w:kern w:val="0"/>
          <w:sz w:val="24"/>
        </w:rPr>
        <w:t>为企业法人的，应在所提交申报材料上加盖企业公章；债权人为自然人的，应在所提交申报材料上签字。</w:t>
      </w:r>
    </w:p>
    <w:p w14:paraId="6617B791">
      <w:pPr>
        <w:widowControl/>
        <w:ind w:firstLine="480" w:firstLineChars="200"/>
        <w:jc w:val="left"/>
        <w:rPr>
          <w:rFonts w:hint="eastAsia" w:ascii="宋体" w:hAnsi="宋体" w:cs="宋体"/>
          <w:kern w:val="0"/>
          <w:sz w:val="24"/>
        </w:rPr>
      </w:pPr>
      <w:r>
        <w:rPr>
          <w:rFonts w:ascii="宋体" w:hAnsi="宋体"/>
          <w:sz w:val="24"/>
        </w:rPr>
        <w:t>3、</w:t>
      </w:r>
      <w:r>
        <w:rPr>
          <w:rFonts w:hint="eastAsia" w:ascii="宋体" w:hAnsi="宋体"/>
          <w:sz w:val="24"/>
        </w:rPr>
        <w:t>债权人申报债权时应向管理人提供</w:t>
      </w:r>
      <w:r>
        <w:rPr>
          <w:rFonts w:ascii="宋体" w:hAnsi="宋体"/>
          <w:sz w:val="24"/>
        </w:rPr>
        <w:t>相关证据材料。证据材料包括但不限于：合同或协议、履行合同的证据、付款凭证、银行凭证、对账单、收货单、收据或发票、往来函件、权利登记证明文件、追收债权证明等；相关权利已经得到生效裁判文书或仲裁裁决书确认的，还应提交相关法律文书（判决生效证明、法院执行情况证明）；债权人申报的债权还有其他债务人的，应当说明其他债务人的履行情况。</w:t>
      </w:r>
    </w:p>
    <w:p w14:paraId="6F1B64D9">
      <w:pPr>
        <w:adjustRightInd w:val="0"/>
        <w:snapToGrid w:val="0"/>
        <w:spacing w:line="380" w:lineRule="exact"/>
        <w:ind w:firstLine="480" w:firstLineChars="200"/>
        <w:rPr>
          <w:rFonts w:hint="eastAsia" w:ascii="宋体" w:hAnsi="宋体"/>
          <w:sz w:val="24"/>
        </w:rPr>
      </w:pPr>
      <w:r>
        <w:rPr>
          <w:rFonts w:ascii="宋体" w:hAnsi="宋体"/>
          <w:sz w:val="24"/>
        </w:rPr>
        <w:t>4、债权人应当如实、详细、完整填写申报信息并提供完整、真实有效的申报材料</w:t>
      </w:r>
      <w:r>
        <w:rPr>
          <w:rFonts w:hint="eastAsia" w:ascii="宋体" w:hAnsi="宋体"/>
          <w:sz w:val="24"/>
        </w:rPr>
        <w:t>。管理人有权对债权人提供的前述材料按需核对</w:t>
      </w:r>
      <w:r>
        <w:rPr>
          <w:rFonts w:ascii="宋体" w:hAnsi="宋体"/>
          <w:sz w:val="24"/>
        </w:rPr>
        <w:t>原件</w:t>
      </w:r>
      <w:r>
        <w:rPr>
          <w:rFonts w:hint="eastAsia" w:ascii="宋体" w:hAnsi="宋体"/>
          <w:sz w:val="24"/>
        </w:rPr>
        <w:t>，债权人应予配合提供</w:t>
      </w:r>
      <w:r>
        <w:rPr>
          <w:rFonts w:ascii="宋体" w:hAnsi="宋体"/>
          <w:sz w:val="24"/>
        </w:rPr>
        <w:t>。债权人如提交伪造、变造等虚假证据及相关材料，以及对重要事实虚假陈述或拒绝陈述的，将承担相应的法律责任，如构成犯罪的，将移交司法机关进行处理。</w:t>
      </w:r>
    </w:p>
    <w:p w14:paraId="08F8DB96">
      <w:pPr>
        <w:adjustRightInd w:val="0"/>
        <w:snapToGrid w:val="0"/>
        <w:spacing w:line="380" w:lineRule="exact"/>
        <w:ind w:firstLine="482" w:firstLineChars="200"/>
        <w:rPr>
          <w:rFonts w:hint="eastAsia" w:ascii="宋体" w:hAnsi="宋体"/>
          <w:b/>
          <w:sz w:val="24"/>
        </w:rPr>
      </w:pPr>
      <w:r>
        <w:rPr>
          <w:rFonts w:hint="eastAsia" w:ascii="宋体" w:hAnsi="宋体"/>
          <w:b/>
          <w:sz w:val="24"/>
        </w:rPr>
        <w:t>四</w:t>
      </w:r>
      <w:r>
        <w:rPr>
          <w:rFonts w:ascii="宋体" w:hAnsi="宋体"/>
          <w:b/>
          <w:sz w:val="24"/>
        </w:rPr>
        <w:t>、其他注意事项</w:t>
      </w:r>
    </w:p>
    <w:p w14:paraId="4E0CBB9E">
      <w:pPr>
        <w:adjustRightInd w:val="0"/>
        <w:snapToGrid w:val="0"/>
        <w:spacing w:line="380" w:lineRule="exact"/>
        <w:ind w:firstLine="480" w:firstLineChars="200"/>
        <w:rPr>
          <w:rFonts w:hint="eastAsia" w:ascii="宋体" w:hAnsi="宋体"/>
          <w:sz w:val="24"/>
        </w:rPr>
      </w:pPr>
      <w:r>
        <w:rPr>
          <w:rFonts w:ascii="宋体" w:hAnsi="宋体"/>
          <w:sz w:val="24"/>
        </w:rPr>
        <w:t>1</w:t>
      </w:r>
      <w:r>
        <w:rPr>
          <w:rFonts w:hint="eastAsia" w:ascii="宋体" w:hAnsi="宋体"/>
          <w:sz w:val="24"/>
        </w:rPr>
        <w:t>、宁波市中级人民法院受理债务人预重整案件时对债务人享有债权的债权人，均有权向预重整管理人申报债权。</w:t>
      </w:r>
    </w:p>
    <w:p w14:paraId="59868A18">
      <w:pPr>
        <w:adjustRightInd w:val="0"/>
        <w:snapToGrid w:val="0"/>
        <w:spacing w:line="380" w:lineRule="exact"/>
        <w:ind w:firstLine="480" w:firstLineChars="200"/>
        <w:rPr>
          <w:rFonts w:hint="eastAsia" w:ascii="宋体" w:hAnsi="宋体"/>
          <w:sz w:val="24"/>
        </w:rPr>
      </w:pPr>
      <w:r>
        <w:rPr>
          <w:rFonts w:ascii="宋体" w:hAnsi="宋体"/>
          <w:sz w:val="24"/>
        </w:rPr>
        <w:t>2</w:t>
      </w:r>
      <w:r>
        <w:rPr>
          <w:rFonts w:hint="eastAsia" w:ascii="宋体" w:hAnsi="宋体"/>
          <w:sz w:val="24"/>
        </w:rPr>
        <w:t>、未到期的债权，可视债权已到期进行申报；附利息的债权，利息暂计算至2024年12月8日。</w:t>
      </w:r>
    </w:p>
    <w:p w14:paraId="196C9190">
      <w:pPr>
        <w:adjustRightInd w:val="0"/>
        <w:snapToGrid w:val="0"/>
        <w:spacing w:line="380" w:lineRule="exact"/>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附条件、附期限的债权和诉讼、仲裁未决的债权，债权人可以申报。</w:t>
      </w:r>
    </w:p>
    <w:p w14:paraId="751908CB">
      <w:pPr>
        <w:adjustRightInd w:val="0"/>
        <w:snapToGrid w:val="0"/>
        <w:spacing w:line="380" w:lineRule="exact"/>
        <w:ind w:firstLine="480" w:firstLineChars="200"/>
        <w:rPr>
          <w:rFonts w:hint="eastAsia"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债权人申报债权时，应当书面详细说明债权的性质、数额（具体构成及计算过程）、有无财产担保，并提交相关证据（提交复印件，原件需核对）。</w:t>
      </w:r>
    </w:p>
    <w:p w14:paraId="5C733886">
      <w:pPr>
        <w:adjustRightInd w:val="0"/>
        <w:snapToGrid w:val="0"/>
        <w:spacing w:line="380" w:lineRule="exact"/>
        <w:ind w:firstLine="480" w:firstLineChars="200"/>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债权人申报的债权是连带债权的，应当说明。连带债权人可以由其中一人代表全体连带债权人申报债权，也可以共同申报债权。</w:t>
      </w:r>
    </w:p>
    <w:p w14:paraId="4B4C525B">
      <w:pPr>
        <w:adjustRightInd w:val="0"/>
        <w:snapToGrid w:val="0"/>
        <w:spacing w:line="380" w:lineRule="exact"/>
        <w:ind w:firstLine="480" w:firstLineChars="200"/>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债务人的保证人或者其他连带债务人已经代替债务人清偿债务的，以其对债务人的求偿权申报债权。债务人的保证人或者其他连带债务人尚未代替债务人清偿债务的，以其对债务人的将来求偿权申报债权。但是，债权人已经向管理人申报全部债权的除外。</w:t>
      </w:r>
    </w:p>
    <w:p w14:paraId="4A00598E">
      <w:pPr>
        <w:adjustRightInd w:val="0"/>
        <w:snapToGrid w:val="0"/>
        <w:spacing w:line="380" w:lineRule="exact"/>
        <w:ind w:firstLine="480" w:firstLineChars="200"/>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债务人是委托合同的委托人，被裁定适用破产程序，受托人不知该事实，继续处理委托事务的，受托人以由此产生的请求权申报债权。</w:t>
      </w:r>
    </w:p>
    <w:p w14:paraId="0A787707">
      <w:pPr>
        <w:adjustRightInd w:val="0"/>
        <w:snapToGrid w:val="0"/>
        <w:spacing w:line="380" w:lineRule="exact"/>
        <w:ind w:firstLine="480" w:firstLineChars="200"/>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债务人是票据的出票人，被裁定适用破产程序，该票据的付款人继续付款或者承兑的，付款人以由此产生的请求权申报债权。</w:t>
      </w:r>
    </w:p>
    <w:p w14:paraId="6C5E5094">
      <w:pPr>
        <w:adjustRightInd w:val="0"/>
        <w:snapToGrid w:val="0"/>
        <w:spacing w:line="380" w:lineRule="exact"/>
        <w:ind w:firstLine="480" w:firstLineChars="200"/>
        <w:rPr>
          <w:rFonts w:hint="eastAsia" w:ascii="宋体" w:hAnsi="宋体"/>
          <w:sz w:val="24"/>
        </w:rPr>
      </w:pPr>
      <w:r>
        <w:rPr>
          <w:rFonts w:hint="eastAsia" w:ascii="宋体" w:hAnsi="宋体"/>
          <w:sz w:val="24"/>
        </w:rPr>
        <w:t>9、债权人虚假申报债权或提供虚假申报材料，损害其他债权人利益的，管理人将依法移送公安机关或人民法院追究其法律责任。</w:t>
      </w:r>
    </w:p>
    <w:p w14:paraId="282EB32D">
      <w:pPr>
        <w:adjustRightInd w:val="0"/>
        <w:snapToGrid w:val="0"/>
        <w:spacing w:line="380" w:lineRule="exact"/>
        <w:ind w:firstLine="480" w:firstLineChars="200"/>
        <w:rPr>
          <w:rFonts w:hint="eastAsia" w:ascii="宋体" w:hAnsi="宋体"/>
          <w:sz w:val="24"/>
        </w:rPr>
      </w:pPr>
      <w:r>
        <w:rPr>
          <w:rFonts w:hint="eastAsia" w:ascii="宋体" w:hAnsi="宋体"/>
          <w:sz w:val="24"/>
        </w:rPr>
        <w:t>10、</w:t>
      </w:r>
      <w:r>
        <w:rPr>
          <w:rFonts w:ascii="宋体" w:hAnsi="宋体"/>
          <w:sz w:val="24"/>
        </w:rPr>
        <w:t>如</w:t>
      </w:r>
      <w:r>
        <w:rPr>
          <w:rFonts w:hint="eastAsia" w:ascii="宋体" w:hAnsi="宋体"/>
          <w:sz w:val="24"/>
        </w:rPr>
        <w:t>万华汽配</w:t>
      </w:r>
      <w:r>
        <w:rPr>
          <w:rFonts w:ascii="宋体" w:hAnsi="宋体"/>
          <w:sz w:val="24"/>
        </w:rPr>
        <w:t>预重整方案通过、进入重整程序的，预重整程序中破产债权的申报，</w:t>
      </w:r>
      <w:r>
        <w:rPr>
          <w:rFonts w:hint="eastAsia" w:ascii="宋体" w:hAnsi="宋体"/>
          <w:sz w:val="24"/>
        </w:rPr>
        <w:t>如债权人不作变更，</w:t>
      </w:r>
      <w:r>
        <w:rPr>
          <w:rFonts w:ascii="宋体" w:hAnsi="宋体"/>
          <w:sz w:val="24"/>
        </w:rPr>
        <w:t>破产重整程序中自动沿用，债权人无需再次申报；如预重整方案未通过，但</w:t>
      </w:r>
      <w:r>
        <w:rPr>
          <w:rFonts w:hint="eastAsia" w:ascii="宋体" w:hAnsi="宋体"/>
          <w:sz w:val="24"/>
        </w:rPr>
        <w:t>万华汽配</w:t>
      </w:r>
      <w:r>
        <w:rPr>
          <w:rFonts w:ascii="宋体" w:hAnsi="宋体"/>
          <w:sz w:val="24"/>
        </w:rPr>
        <w:t>公司依法进入破产重整/和解/清算程序的，破产程序中是否自动沿用预重整程序中的债权申报，以破产管理人在破产程序中出具的债权申报须知为准。</w:t>
      </w:r>
    </w:p>
    <w:p w14:paraId="3E961163">
      <w:pPr>
        <w:adjustRightInd w:val="0"/>
        <w:snapToGrid w:val="0"/>
        <w:spacing w:line="380" w:lineRule="exact"/>
        <w:ind w:firstLine="480" w:firstLineChars="200"/>
        <w:rPr>
          <w:rFonts w:hint="eastAsia" w:ascii="宋体" w:hAnsi="宋体" w:cs="宋体"/>
          <w:kern w:val="0"/>
          <w:sz w:val="24"/>
        </w:rPr>
      </w:pPr>
      <w:r>
        <w:rPr>
          <w:rFonts w:hint="eastAsia" w:ascii="宋体" w:hAnsi="宋体"/>
          <w:sz w:val="24"/>
        </w:rPr>
        <w:t>11、</w:t>
      </w:r>
      <w:r>
        <w:rPr>
          <w:rFonts w:ascii="宋体" w:hAnsi="宋体" w:cs="宋体"/>
          <w:kern w:val="0"/>
          <w:sz w:val="24"/>
        </w:rPr>
        <w:t>债权人应正确填写手机号码、送达地址等联系方式；债权人填写错误，管理人按债权人填写的联系方式送达材料的，视为已送达，相关后果由债权人自行承担。</w:t>
      </w:r>
    </w:p>
    <w:p w14:paraId="3C1918FE">
      <w:pPr>
        <w:adjustRightInd w:val="0"/>
        <w:snapToGrid w:val="0"/>
        <w:spacing w:line="380" w:lineRule="exact"/>
        <w:ind w:firstLine="480" w:firstLineChars="200"/>
        <w:rPr>
          <w:rFonts w:hint="eastAsia" w:ascii="宋体" w:hAnsi="宋体" w:cs="宋体"/>
          <w:kern w:val="0"/>
          <w:sz w:val="24"/>
        </w:rPr>
      </w:pPr>
      <w:r>
        <w:rPr>
          <w:rFonts w:hint="eastAsia" w:ascii="宋体" w:hAnsi="宋体" w:cs="宋体"/>
          <w:kern w:val="0"/>
          <w:sz w:val="24"/>
        </w:rPr>
        <w:t>12、</w:t>
      </w:r>
      <w:r>
        <w:rPr>
          <w:rFonts w:ascii="宋体" w:hAnsi="宋体" w:cs="宋体"/>
          <w:kern w:val="0"/>
          <w:sz w:val="24"/>
        </w:rPr>
        <w:t>申报材料必须符合规定的要求。因所提交的材料不符合要求或未按本说明中的要求进行债权申报，导致所申报债权未被确认或产生其他后果的，由债权人自行承担。</w:t>
      </w:r>
    </w:p>
    <w:p w14:paraId="79463559">
      <w:pPr>
        <w:adjustRightInd w:val="0"/>
        <w:snapToGrid w:val="0"/>
        <w:spacing w:line="380" w:lineRule="exact"/>
        <w:ind w:firstLine="480" w:firstLineChars="200"/>
        <w:rPr>
          <w:rFonts w:hint="eastAsia" w:ascii="宋体" w:hAnsi="宋体"/>
          <w:sz w:val="24"/>
        </w:rPr>
      </w:pPr>
      <w:r>
        <w:rPr>
          <w:rFonts w:hint="eastAsia" w:ascii="宋体" w:hAnsi="宋体"/>
          <w:sz w:val="24"/>
        </w:rPr>
        <w:t>13、本指引内容与现行法律法规、司法解释及人民法院司法文件不一致的，以后者为准。</w:t>
      </w:r>
    </w:p>
    <w:p w14:paraId="49EB64C0"/>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BD"/>
    <w:rsid w:val="000747C8"/>
    <w:rsid w:val="00096CA6"/>
    <w:rsid w:val="00100CCF"/>
    <w:rsid w:val="00237EDD"/>
    <w:rsid w:val="002B5217"/>
    <w:rsid w:val="002E305E"/>
    <w:rsid w:val="003342C9"/>
    <w:rsid w:val="0036672E"/>
    <w:rsid w:val="003E1EB8"/>
    <w:rsid w:val="004D6834"/>
    <w:rsid w:val="00500EC0"/>
    <w:rsid w:val="006C7B70"/>
    <w:rsid w:val="00751A6F"/>
    <w:rsid w:val="007558D8"/>
    <w:rsid w:val="007936D5"/>
    <w:rsid w:val="00806C9D"/>
    <w:rsid w:val="00823CD2"/>
    <w:rsid w:val="00833BBB"/>
    <w:rsid w:val="008418BD"/>
    <w:rsid w:val="00950B26"/>
    <w:rsid w:val="00A254AE"/>
    <w:rsid w:val="00B02C11"/>
    <w:rsid w:val="00B62466"/>
    <w:rsid w:val="00B95052"/>
    <w:rsid w:val="00B973A7"/>
    <w:rsid w:val="00BB242D"/>
    <w:rsid w:val="00BD6A78"/>
    <w:rsid w:val="00C31752"/>
    <w:rsid w:val="00D9063A"/>
    <w:rsid w:val="00DE0A3F"/>
    <w:rsid w:val="00E00D62"/>
    <w:rsid w:val="00E47AF8"/>
    <w:rsid w:val="00EA0F06"/>
    <w:rsid w:val="00EB68AD"/>
    <w:rsid w:val="00ED4462"/>
    <w:rsid w:val="00F54781"/>
    <w:rsid w:val="00FD028A"/>
    <w:rsid w:val="00FE4DCA"/>
    <w:rsid w:val="00FE6642"/>
    <w:rsid w:val="3B4D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Default"/>
    <w:uiPriority w:val="0"/>
    <w:pPr>
      <w:widowControl w:val="0"/>
      <w:autoSpaceDE w:val="0"/>
      <w:autoSpaceDN w:val="0"/>
      <w:adjustRightInd w:val="0"/>
    </w:pPr>
    <w:rPr>
      <w:rFonts w:ascii="黑体" w:hAnsi="黑体" w:eastAsia="宋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1816</Characters>
  <Lines>13</Lines>
  <Paragraphs>3</Paragraphs>
  <TotalTime>55</TotalTime>
  <ScaleCrop>false</ScaleCrop>
  <LinksUpToDate>false</LinksUpToDate>
  <CharactersWithSpaces>1822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2022-04-20T08:25:00Z</dcterms:created>
  <dc:creator>丁 天甲</dc:creator>
  <cp:lastModifiedBy>Byedcy</cp:lastModifiedBy>
  <dcterms:modified xsi:type="dcterms:W3CDTF">2024-12-18T06:27:49Z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EAE00B1723284D8EAAF595689D66ECAB_13</vt:lpwstr>
  </property>
</Properties>
</file>